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</w:pPr>
      <w:r>
        <w:rPr>
          <w:rFonts w:ascii="Aptos" w:hAnsi="Aptos" w:eastAsia="Aptos"/>
          <w:b/>
          <w:color w:val="0F5496"/>
          <w:sz w:val="50"/>
          <w:lang w:val="it-IT" w:eastAsia="it-IT"/>
        </w:rPr>
        <w:t>Esempio di procedura interna per l’utilizzo di CollegioCloud</w:t>
      </w:r>
    </w:p>
    <w:p>
      <w:pPr>
        <w:pStyle w:val="Subtitle"/>
      </w:pPr>
      <w:r>
        <w:t>Modello semplice per la gestione digitale del Collegio dei docenti, delle votazioni palesi e delle votazioni segrete tramite Belenios</w:t>
      </w:r>
    </w:p>
    <w:p>
      <w:pPr>
        <w:widowControl/>
        <w:spacing w:before="160" w:after="240"/>
        <w:ind w:left="198" w:right="142"/>
        <w:shd w:fill="EAF3F8"/>
        <w:pBdr>
          <w:left w:val="single" w:sz="18" w:space="8" w:color="58C14E"/>
        </w:pBdr>
      </w:pPr>
      <w:r>
        <w:rPr>
          <w:rFonts w:ascii="Aptos" w:hAnsi="Aptos" w:eastAsia="Aptos"/>
          <w:b/>
          <w:lang w:val="it-IT" w:eastAsia="it-IT"/>
        </w:rPr>
        <w:t>AVVERTENZA. Questo documento è un esempio da adattare alle esigenze dell’Istituto. Non costituisce parere legale e non sostituisce regolamento d’Istituto, manuale di gestione documentale, informativa privacy, valutazione d’impatto, accordi con i responsabili del trattamento o deliberazioni degli organi competenti. Prima dell’adozione deve essere verificato dal Dirigente, dal DSGA, dal RPD/DPO e dagli altri soggetti competenti.</w:t>
      </w:r>
    </w:p>
    <w:p>
      <w:pPr>
        <w:pStyle w:val="Heading1"/>
      </w:pPr>
      <w:r>
        <w:t>Dati del documento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Istituto: [DENOMINAZIONE]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Codice meccanografico: [CODICE]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Versione: [VERSIONE]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Data di adozione: [DATA]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Atto di approvazione: [ORGANO, NUMERO E DATA]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Responsabile della procedura: [RUOLO E NOMINATIVO]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Data della prossima revisione: [DATA]</w:t>
      </w:r>
    </w:p>
    <w:p>
      <w:pPr>
        <w:pStyle w:val="Heading1"/>
      </w:pPr>
      <w:r>
        <w:t>1. Oggetto e finalità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La procedura disciplina l’uso di CollegioCloud esclusivamente per la gestione del Collegio dei docenti. Definisce responsabilità, sequenza delle operazioni, controlli, documenti ed evidenze da conservare dalla convocazione fino al verbale e al fascicolo finale.</w:t>
      </w:r>
    </w:p>
    <w:p>
      <w:pPr>
        <w:widowControl/>
      </w:pPr>
      <w:r>
        <w:t>CollegioCloud è uno strumento di supporto tecnico e documentale. Le decisioni restano di competenza dell’Istituto e delle persone individuate per la seduta. Presidente, segretario ed eventuali altri incarichi sono figure organizzative, non ruoli tecnici obbligatori della piattaforma.</w:t>
      </w:r>
    </w:p>
    <w:p>
      <w:pPr>
        <w:pStyle w:val="Heading1"/>
      </w:pPr>
      <w:r>
        <w:t>2. Ambito di applicazione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La procedura si applica alle sole sedute del Collegio dei docenti gestite dall’Istituto attraverso CollegioCloud. Non disciplina altri organi collegiali.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L’Istituto indica le modalità ammesse:</w:t>
      </w:r>
    </w:p>
    <w:p>
      <w:pPr>
        <w:spacing w:after="100"/>
        <w:ind w:left="255" w:hanging="57"/>
      </w:pPr>
      <w:r>
        <w:rPr>
          <w:rFonts w:ascii="Aptos" w:hAnsi="Aptos" w:eastAsia="Aptos"/>
          <w:lang w:val="it-IT" w:eastAsia="it-IT"/>
        </w:rPr>
        <w:t>☐  seduta in presenza;</w:t>
      </w:r>
    </w:p>
    <w:p>
      <w:pPr>
        <w:spacing w:after="100"/>
        <w:ind w:left="255" w:hanging="57"/>
      </w:pPr>
      <w:r>
        <w:rPr>
          <w:rFonts w:ascii="Aptos" w:hAnsi="Aptos" w:eastAsia="Aptos"/>
          <w:lang w:val="it-IT" w:eastAsia="it-IT"/>
        </w:rPr>
        <w:t>☐  seduta a distanza, quando consentita e regolamentata;</w:t>
      </w:r>
    </w:p>
    <w:p>
      <w:pPr>
        <w:spacing w:after="100"/>
        <w:ind w:left="255" w:hanging="57"/>
      </w:pPr>
      <w:r>
        <w:rPr>
          <w:rFonts w:ascii="Aptos" w:hAnsi="Aptos" w:eastAsia="Aptos"/>
          <w:lang w:val="it-IT" w:eastAsia="it-IT"/>
        </w:rPr>
        <w:t>☐  seduta mista, quando consentita e regolamentata.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Per ogni modalità devono essere definiti il canale ufficiale di convocazione, le regole di partecipazione, gli strumenti di riconoscimento, la gestione delle anomalie e la formazione del verbale.</w:t>
      </w:r>
    </w:p>
    <w:p>
      <w:pPr>
        <w:pStyle w:val="Heading1"/>
      </w:pPr>
      <w:r>
        <w:t>3. Principi organizzativi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Ogni utente usa un account personale e non cedibile.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Tutti e soli gli utenti attivi con ruolo Docente sono membri del Collegio e aventi diritto al voto.</w:t>
      </w:r>
    </w:p>
    <w:p>
      <w:pPr>
        <w:widowControl/>
        <w:spacing w:after="80"/>
        <w:numPr>
          <w:ilvl w:val="0"/>
          <w:numId w:val="10"/>
        </w:numPr>
      </w:pPr>
      <w:r>
        <w:t>Un utente può avere contemporaneamente il ruolo Admin e il ruolo Docente: in questo caso può gestire la seduta e votare quando ne ha diritto.</w:t>
      </w:r>
    </w:p>
    <w:p>
      <w:pPr>
        <w:widowControl/>
        <w:spacing w:after="80"/>
        <w:numPr>
          <w:ilvl w:val="0"/>
          <w:numId w:val="10"/>
        </w:numPr>
      </w:pPr>
      <w:r>
        <w:t>Gli utenti con il solo ruolo Admin possono operare sulla seduta, ma non votano. Il diritto di voto spetta agli utenti attivi con ruolo Docente.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Le operazioni rilevanti sono collegate alla scuola, alla seduta, all’utente e all’istante di esecuzione.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Le anomalie non sono corrette cancellando le evidenze: sono annotate, motivate e gestite secondo la presente procedura.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I documenti prodotti sono verificati prima dell’acquisizione agli atti.</w:t>
      </w:r>
    </w:p>
    <w:p>
      <w:pPr>
        <w:pStyle w:val="Heading1"/>
      </w:pPr>
      <w:r>
        <w:t>4. Ruoli e responsabilità</w:t>
      </w:r>
    </w:p>
    <w:p>
      <w:pPr>
        <w:pStyle w:val="Heading2"/>
      </w:pPr>
      <w:r>
        <w:t>4.1 Admin scuola</w:t>
      </w:r>
    </w:p>
    <w:p>
      <w:pPr>
        <w:widowControl/>
      </w:pPr>
      <w:r>
        <w:t>Gestisce profilo scuola, account, ruoli, richieste di iscrizione, convocazioni, sedute, presenze, votazioni, verbali e fascicoli. Un Admin che ha anche il ruolo Docente può votare. Le decisioni istituzionali restano di competenza della scuola e delle figure individuate per la seduta.</w:t>
      </w:r>
    </w:p>
    <w:p>
      <w:pPr>
        <w:pStyle w:val="Heading2"/>
      </w:pPr>
      <w:r>
        <w:t>4.2 Docente</w:t>
      </w:r>
    </w:p>
    <w:p>
      <w:pPr>
        <w:widowControl/>
      </w:pPr>
      <w:r>
        <w:t>Partecipa alle sedute, conferma la presenza, consulta ordine del giorno e documenti, vota quando è tra gli aventi diritto e segnala tempestivamente errori o impedimenti.</w:t>
      </w:r>
    </w:p>
    <w:p>
      <w:pPr>
        <w:pStyle w:val="Heading2"/>
      </w:pPr>
      <w:r>
        <w:t>4.3 Figure organizzative</w:t>
      </w:r>
    </w:p>
    <w:p>
      <w:pPr>
        <w:widowControl/>
      </w:pPr>
      <w:r>
        <w:t>Presidente, segretario verbalizzante ed eventuali altri incarichi sono individuati dall’Istituto e possono essere indicati nel verbale o nella procedura interna. Non richiedono account o ruoli applicativi separati.</w:t>
      </w:r>
    </w:p>
    <w:p>
      <w:pPr>
        <w:pStyle w:val="Heading2"/>
      </w:pPr>
      <w:r>
        <w:t>4.4 Gestione tecnica e privacy</w:t>
      </w:r>
    </w:p>
    <w:p>
      <w:pPr>
        <w:widowControl/>
      </w:pPr>
      <w:r>
        <w:t>Adacom gestisce il servizio e l’integrazione tecnica con Belenios nei limiti degli accordi applicabili. L’Istituto mantiene le proprie responsabilità su organizzazione, contenuti, documenti, privacy e decisioni del Collegio.</w:t>
      </w:r>
    </w:p>
    <w:p>
      <w:pPr>
        <w:pStyle w:val="Heading2"/>
      </w:pPr>
      <w:r/>
    </w:p>
    <w:p>
      <w:pPr>
        <w:widowControl/>
      </w:pPr>
      <w:r/>
    </w:p>
    <w:p>
      <w:pPr>
        <w:pStyle w:val="Heading2"/>
      </w:pPr>
      <w:r/>
    </w:p>
    <w:p>
      <w:pPr>
        <w:widowControl/>
      </w:pPr>
      <w:r/>
    </w:p>
    <w:p>
      <w:pPr>
        <w:pStyle w:val="Heading1"/>
      </w:pPr>
      <w:r>
        <w:t>5. Account, iscrizione e autenticazione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Le richieste dei docenti sono approvate da un admin dopo verifica dell’appartenenza alla scuola. L’assegnazione o la revoca del ruolo Docente determina il diritto di partecipare e votare nelle sedute successive, fatti salvi gli snapshot già congelati.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L’accesso usa password personale. L’Istituto definisce quando rendere obbligatoria l’autenticazione forte. Per ruoli privilegiati e operazioni deliberative si usano Authenticator o passkey secondo le configurazioni applicative.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In caso di sospetto accesso improprio, l’admin disattiva l’account, revoca le sessioni, avvia il ripristino credenziali e registra l’incidente secondo la procedura di sicurezza.</w:t>
      </w:r>
    </w:p>
    <w:p>
      <w:pPr>
        <w:pStyle w:val="Heading1"/>
      </w:pPr>
      <w:r>
        <w:t>6. Preparazione e convocazione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Prima della convocazione, l’incaricato: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verifica titolo, numero, anno scolastico, data, modalità, presidente e segretario;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controlla l’elenco degli utenti attivi con ruolo Docente;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inserisce i punti dell’ordine del giorno in forma strutturata;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collega eventuali allegati e formula separatamente ogni quesito da votare;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indica per ciascun quesito se il voto è palese o segreto;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genera la convocazione PDF e ne verifica il contenuto.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L’Istituto stabilisce se l’email inviata da CollegioCloud costituisce canale ufficiale o semplice supporto e indica l’eventuale canale alternativo, come registro elettronico, albo o protocollo.</w:t>
      </w:r>
    </w:p>
    <w:p>
      <w:pPr>
        <w:pStyle w:val="Heading1"/>
      </w:pPr>
      <w:r>
        <w:t>7. Apertura della seduta e presenze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La seduta viene aperta da un soggetto autorizzato. Il sistema fotografa gli aventi diritto sulla base degli utenti attivi con ruolo Docente.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Per le sedute in presenza, l’Istituto può usare un codice aula temporaneo, rigenerabile e revocabile. Il docente inserisce il codice e rende una dichiarazione esplicita. L’orario, l’account e gli altri riscontri previsti vengono registrati.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Il presidente e il segretario verificano assenti, ritardi, uscite anticipate, giustificazioni e conferme manuali. Ogni rettifica deve essere motivata e riconducibile all’operatore.</w:t>
      </w:r>
    </w:p>
    <w:p>
      <w:pPr>
        <w:pStyle w:val="Heading1"/>
      </w:pPr>
      <w:r>
        <w:t>8. GPS soft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Il GPS soft è facoltativo e non costituisce tracciamento continuo. Se attivato, il browser richiede la posizione soltanto durante l’operazione prevista e CollegioCloud registra l’esito del confronto con il raggio configurato, oppure il diniego o l’indisponibilità.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Il GPS soft non determina automaticamente presenza, assenza o diritto di voto. L’Istituto definisce chi valuta un esito fuori raggio o non disponibile e se occorrono chiarimenti, annotazione o conferma motivata.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Prima dell’attivazione devono essere aggiornate informativa, registro dei trattamenti e valutazione dei rischi; il RPD/DPO deve essere coinvolto secondo le competenze previste.</w:t>
      </w:r>
    </w:p>
    <w:p>
      <w:pPr>
        <w:pStyle w:val="Heading1"/>
      </w:pPr>
      <w:r>
        <w:t>9. Votazioni palesi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Ogni votazione palese è collegata a un punto dell’ordine del giorno e presenta quesito, opzioni e regole di quorum comprensibili prima dell’apertura.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Il presidente o altro ruolo autorizzato apre la votazione dopo aver verificato platea e quorum.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Ogni docente può esprimere una sola scelta corrente; le eventuali rettifiche restano nello storico append-only.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Alla chiusura vengono congelati risultato e riscontri di quorum.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Il report nominativo riporta aventi diritto, votanti, non votanti, scelte ed eventuali rettifiche secondo le autorizzazioni.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L’esito destinato al verbale viene precompilato ma resta verificabile e modificabile dagli incaricati prima della chiusura del verbale.</w:t>
      </w:r>
    </w:p>
    <w:p>
      <w:pPr>
        <w:pStyle w:val="Heading1"/>
      </w:pPr>
      <w:r>
        <w:t>10. Votazioni segrete tramite Belenios</w:t>
      </w:r>
    </w:p>
    <w:p>
      <w:pPr>
        <w:widowControl/>
      </w:pPr>
      <w:r>
        <w:t>Quando serve una votazione segreta, CollegioCloud collega la seduta a un’urna elettronica Belenios separata. Belenios cifra le schede e mantiene separati l’identità del votante e la scelta. CollegioCloud conserva soltanto i dati necessari: affluenza aggregata, risultato, impronte e riferimenti pubblici di verifica.</w:t>
      </w:r>
    </w:p>
    <w:p>
      <w:pPr>
        <w:widowControl/>
      </w:pPr>
      <w:r>
        <w:t>Prima dell’uso, la scuola deve soltanto:</w:t>
      </w:r>
    </w:p>
    <w:p>
      <w:pPr>
        <w:widowControl/>
        <w:spacing w:after="80"/>
        <w:numPr>
          <w:ilvl w:val="0"/>
          <w:numId w:val="10"/>
        </w:numPr>
      </w:pPr>
      <w:r>
        <w:t>approvare o adattare la presente procedura e indicare i casi in cui il voto segreto è ammesso o necessario;</w:t>
      </w:r>
    </w:p>
    <w:p>
      <w:pPr>
        <w:widowControl/>
        <w:spacing w:after="80"/>
        <w:numPr>
          <w:ilvl w:val="0"/>
          <w:numId w:val="10"/>
        </w:numPr>
      </w:pPr>
      <w:r>
        <w:t>pubblicare l’informativa privacy della scuola e verificare la documentazione applicabile;</w:t>
      </w:r>
    </w:p>
    <w:p>
      <w:pPr>
        <w:widowControl/>
        <w:spacing w:after="80"/>
        <w:numPr>
          <w:ilvl w:val="0"/>
          <w:numId w:val="10"/>
        </w:numPr>
      </w:pPr>
      <w:r>
        <w:t>verificare gli accordi sul trattamento dei dati e i contatti per l’assistenza;</w:t>
      </w:r>
    </w:p>
    <w:p>
      <w:pPr>
        <w:widowControl/>
        <w:spacing w:after="80"/>
        <w:numPr>
          <w:ilvl w:val="0"/>
          <w:numId w:val="10"/>
        </w:numPr>
      </w:pPr>
      <w:r>
        <w:t>conoscere il flusso operativo e verificare che la domanda, gli aventi diritto e le date siano corretti;</w:t>
      </w:r>
    </w:p>
    <w:p>
      <w:pPr>
        <w:widowControl/>
        <w:spacing w:after="80"/>
        <w:numPr>
          <w:ilvl w:val="0"/>
          <w:numId w:val="10"/>
        </w:numPr>
      </w:pPr>
      <w:r>
        <w:t>indicare chi, nella scuola, è autorizzato a gestire la seduta, il verbale e il fascicolo;</w:t>
      </w:r>
    </w:p>
    <w:p>
      <w:pPr>
        <w:widowControl/>
        <w:spacing w:after="80"/>
        <w:numPr>
          <w:ilvl w:val="0"/>
          <w:numId w:val="10"/>
        </w:numPr>
      </w:pPr>
      <w:r>
        <w:t>utilizzare, quando opportuno, una prova con dati non reali. Il collegamento tecnico CollegioCloud-Belenios è già stato collaudato end-to-end dal gestore.</w:t>
      </w:r>
    </w:p>
    <w:p>
      <w:pPr>
        <w:pStyle w:val="Heading2"/>
      </w:pPr>
      <w:r>
        <w:t>10.1 Preparazione dell’urna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Il quesito e le opzioni sono verificati prima della trasmissione. CollegioCloud prepara uno snapshot versionato degli aventi diritto. All’urna vengono trasmessi i dati strettamente necessari alla gestione degli elettori e alla consegna delle credenziali, quali riferimento esterno, nome visualizzato ed email istituzionale.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La lista degli elettori resta separata dalle schede cifrate. CollegioCloud conserva impronte e conteggi necessari a dimostrare quale platea sia stata predisposta, senza inserire tali dati personali nel fascicolo probatorio esportato.</w:t>
      </w:r>
    </w:p>
    <w:p>
      <w:pPr>
        <w:pStyle w:val="Heading2"/>
      </w:pPr>
      <w:r>
        <w:t>10.2 Apertura, voto e chiusura</w:t>
      </w:r>
    </w:p>
    <w:p>
      <w:pPr>
        <w:widowControl/>
      </w:pPr>
      <w:r>
        <w:t>CollegioCloud prepara e coordina l’apertura dell’urna. La scuola non deve accedere alla console tecnica Belenios né usare account tecnici condivisi. Ogni docente riceve il proprio codice o collegamento secondo il flusso predisposto e vota nell’urna separata.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Durante il voto, l’assistenza tecnica non deve chiedere al docente la scelta espressa né acquisire screenshot della scheda compilata. Alla chiusura non sono ammessi ulteriori voti.</w:t>
      </w:r>
    </w:p>
    <w:p>
      <w:pPr>
        <w:pStyle w:val="Heading2"/>
      </w:pPr>
      <w:r>
        <w:t>10.3 Scrutinio e verifica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Lo scrutinio segue la sequenza prevista da Belenios: chiusura, eventuale mescolamento, decrittazione e pubblicazione del risultato. CollegioCloud acquisisce soltanto affluenza, risultato aggregato, impronta e riferimenti pubblici di verifica.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Gli incaricati confrontano numero degli aventi diritto, affluenza, somma delle opzioni, quorum, stato dell’urna e impronte. Il verbale riporta risultato aggregato e riferimenti di verifica, senza dati che consentano di ricostruire la scelta del singolo.</w:t>
      </w:r>
    </w:p>
    <w:p>
      <w:pPr>
        <w:pStyle w:val="Heading2"/>
      </w:pPr>
      <w:r>
        <w:t>10.4 Archivio verificabile e fascicolo</w:t>
      </w:r>
    </w:p>
    <w:p>
      <w:pPr>
        <w:widowControl/>
      </w:pPr>
      <w:r>
        <w:t>Al termine, CollegioCloud collega al fascicolo i metadati della votazione, la catena degli eventi, il risultato aggregato, le operazioni del collegamento e le impronte SHA-256. I riferimenti pubblici consentono le verifiche previste senza rivelare il voto individuale.</w:t>
      </w:r>
    </w:p>
    <w:p>
      <w:pPr>
        <w:widowControl/>
      </w:pPr>
      <w:r>
        <w:t>Il pacchetto di CollegioCloud non sostituisce gli adempimenti della scuola relativi a firma, protocollo e conservazione digitale, quando necessari.</w:t>
      </w:r>
    </w:p>
    <w:p>
      <w:pPr>
        <w:pStyle w:val="Heading1"/>
      </w:pPr>
      <w:r>
        <w:t>11. Anomalie e continuità operativa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Se una mutazione verso Belenios ha esito incerto, non viene ripetuta automaticamente. L’operatore verifica prima lo stato remoto e riconcilia i dati.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In caso di indisponibilità, errore di configurazione, credenziali non consegnate, incoerenza dei conteggi o dubbio sulla segretezza, il presidente sospende o rinvia la votazione. Non si trasferisce una votazione segreta dentro CollegioCloud e non si trasforma automaticamente il voto in palese.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L’eventuale ripetizione usa una nuova urna o una nuova votazione collegata alla precedente, con motivazione, riferimenti temporali e annotazione nel verbale. Gli incidenti privacy o di sicurezza seguono la procedura di data breach e incident response dell’Istituto.</w:t>
      </w:r>
    </w:p>
    <w:p>
      <w:pPr>
        <w:pStyle w:val="Heading1"/>
      </w:pPr>
      <w:r>
        <w:t>12. Verbale e documenti finali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La bozza di verbale può essere precompilata con dati della seduta, presenze, ordine del giorno ed esiti. Il segretario verifica ogni contenuto; il presidente controlla coerenza e completezza.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Per il voto palese il verbale può richiamare il report nominativo. Per il voto segreto riporta solo dati aggregati, quorum, identificativo dell’urna, impronta del risultato e riferimenti di verifica.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La scuola stabilisce quando il verbale diventa definitivo, chi lo approva e firma e con quale procedura viene protocollato e conservato.</w:t>
      </w:r>
    </w:p>
    <w:p>
      <w:pPr>
        <w:pStyle w:val="Heading1"/>
      </w:pPr>
      <w:r>
        <w:t>13. Fascicolo della seduta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Il fascicolo comprende, secondo pertinenza: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convocazione, ordine del giorno e allegati;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registro presenze, anomalie e giustificazioni;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report delle votazioni palesi;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risultati aggregati e fascicolo probatorio delle votazioni Belenios;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bozza e versione finale del verbale;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documenti di scrutinio, attestazioni e audit rilevante;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manifest con dimensioni e impronte dei file.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L’Archivio ZIP è un pacchetto di esportazione. L’Istituto definisce acquisizione agli atti, classificazione, fascicolazione, firma, protocollo, tempi di conservazione e versamento al sistema di conservazione.</w:t>
      </w:r>
    </w:p>
    <w:p>
      <w:pPr>
        <w:pStyle w:val="Heading1"/>
      </w:pPr>
      <w:r>
        <w:t>14. Privacy, sicurezza e conservazione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L’Istituto è titolare del trattamento per le finalità istituzionali. Pubblica un’informativa specifica e versionata; la conferma richiesta al login documenta la presa visione e non trasforma il trattamento istituzionale in un trattamento basato sul consenso.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Adacom e gli eventuali fornitori infrastrutturali operano nei ruoli definiti dagli accordi applicabili. L’Istituto verifica periodicamente autorizzazioni, sub-responsabili, localizzazione, backup, retention, misure di sicurezza e gestione delle richieste degli interessati.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Il fascicolo probatorio non deve contenere credenziali, email degli elettori, schede, chiavi private o associazioni tra identità e scelta. Gli accessi privilegiati richiedono autenticazione forte e sono registrati.</w:t>
      </w:r>
    </w:p>
    <w:p>
      <w:pPr>
        <w:pStyle w:val="Heading1"/>
      </w:pPr>
      <w:r>
        <w:t>15. Verifica del servizio e aggiornamento della procedura</w:t>
      </w:r>
    </w:p>
    <w:p>
      <w:pPr>
        <w:widowControl/>
      </w:pPr>
      <w:r>
        <w:t>Il collegamento CollegioCloud-Belenios è stato verificato end-to-end dal gestore, compresi preparazione, apertura, autenticazione, voto, chiusura, scrutinio, risultato, download e archiviazione nel fascicolo. La scuola può ripetere una prova con dati non reali prima del primo utilizzo e dopo modifiche sostanziali.</w:t>
      </w:r>
    </w:p>
    <w:p>
      <w:pPr>
        <w:widowControl/>
      </w:pPr>
      <w:r>
        <w:t>La procedura viene riesaminata almeno annualmente e dopo modifiche sostanziali, incidenti, variazioni del servizio, aggiornamenti di Belenios o cambiamenti normativi. La scuola controlla in particolare che aventi diritto, quesiti, presenze, risultato e documenti del fascicolo siano corretti.</w:t>
      </w:r>
    </w:p>
    <w:p>
      <w:pPr>
        <w:pStyle w:val="Heading1"/>
      </w:pPr>
      <w:r>
        <w:t>16. Formula esemplificativa di approvazione</w:t>
      </w:r>
    </w:p>
    <w:p>
      <w:pPr>
        <w:widowControl/>
      </w:pPr>
      <w:r>
        <w:rPr>
          <w:rFonts w:ascii="Aptos" w:hAnsi="Aptos" w:eastAsia="Aptos"/>
          <w:lang w:val="it-IT" w:eastAsia="it-IT"/>
        </w:rPr>
        <w:t>L’organo competente, esaminati il presente documento, l’informativa privacy, la valutazione dei rischi, gli accordi con i responsabili del trattamento e l’esito del collaudo, approva l’uso di CollegioCloud quale supporto alla gestione digitale del Collegio dei docenti e, ove espressamente attivato, l’uso dell’urna Belenios per le votazioni segrete, secondo le regole, i limiti e le responsabilità qui indicati.</w:t>
      </w:r>
    </w:p>
    <w:p>
      <w:pPr>
        <w:pStyle w:val="Heading1"/>
      </w:pPr>
      <w:r>
        <w:t>Allegato A. Decisioni da completare</w:t>
      </w:r>
    </w:p>
    <w:p>
      <w:pPr>
        <w:spacing w:after="100"/>
        <w:ind w:left="255" w:hanging="57"/>
      </w:pPr>
      <w:r>
        <w:rPr>
          <w:rFonts w:ascii="Aptos" w:hAnsi="Aptos" w:eastAsia="Aptos"/>
          <w:lang w:val="it-IT" w:eastAsia="it-IT"/>
        </w:rPr>
        <w:t>☐  Modalità di convocazione ufficiale.</w:t>
      </w:r>
    </w:p>
    <w:p>
      <w:pPr>
        <w:spacing w:after="100"/>
        <w:ind w:left="255" w:hanging="57"/>
      </w:pPr>
      <w:r>
        <w:rPr>
          <w:rFonts w:ascii="Aptos" w:hAnsi="Aptos" w:eastAsia="Aptos"/>
          <w:lang w:val="it-IT" w:eastAsia="it-IT"/>
        </w:rPr>
        <w:t>☐  Durata, comunicazione, rigenerazione e revoca del codice aula.</w:t>
      </w:r>
    </w:p>
    <w:p>
      <w:pPr>
        <w:spacing w:after="100"/>
        <w:ind w:left="255" w:hanging="57"/>
      </w:pPr>
      <w:r>
        <w:rPr>
          <w:rFonts w:ascii="Aptos" w:hAnsi="Aptos" w:eastAsia="Aptos"/>
          <w:lang w:val="it-IT" w:eastAsia="it-IT"/>
        </w:rPr>
        <w:t>☐  Attivazione o esclusione del GPS soft e raggio ammesso.</w:t>
      </w:r>
    </w:p>
    <w:p>
      <w:pPr>
        <w:spacing w:after="100"/>
        <w:ind w:left="255" w:hanging="57"/>
      </w:pPr>
      <w:r>
        <w:rPr>
          <w:rFonts w:ascii="Aptos" w:hAnsi="Aptos" w:eastAsia="Aptos"/>
          <w:lang w:val="it-IT" w:eastAsia="it-IT"/>
        </w:rPr>
        <w:t>☐  Regole di quorum strutturale e funzionale.</w:t>
      </w:r>
    </w:p>
    <w:p>
      <w:pPr>
        <w:spacing w:after="100"/>
        <w:ind w:left="255" w:hanging="57"/>
      </w:pPr>
      <w:r>
        <w:rPr>
          <w:rFonts w:ascii="Aptos" w:hAnsi="Aptos" w:eastAsia="Aptos"/>
          <w:lang w:val="it-IT" w:eastAsia="it-IT"/>
        </w:rPr>
        <w:t>☐  Casi di voto palese e casi di voto segreto.</w:t>
      </w:r>
    </w:p>
    <w:p>
      <w:pPr>
        <w:spacing w:after="100"/>
        <w:ind w:left="255" w:hanging="57"/>
      </w:pPr>
      <w:r>
        <w:t>☐  Admin scuola autorizzati a gestire apertura, chiusura, scrutinio, risultato e riconciliazione.</w:t>
      </w:r>
    </w:p>
    <w:p>
      <w:pPr>
        <w:spacing w:after="100"/>
        <w:ind w:left="255" w:hanging="57"/>
      </w:pPr>
      <w:r>
        <w:t>☐  Figure organizzative indicate nel verbale: presidente, segretario ed eventuali altri incarichi.</w:t>
      </w:r>
    </w:p>
    <w:p>
      <w:pPr>
        <w:spacing w:after="100"/>
        <w:ind w:left="255" w:hanging="57"/>
      </w:pPr>
      <w:r>
        <w:rPr>
          <w:rFonts w:ascii="Aptos" w:hAnsi="Aptos" w:eastAsia="Aptos"/>
          <w:lang w:val="it-IT" w:eastAsia="it-IT"/>
        </w:rPr>
        <w:t>☐  Procedura per anomalie, sospensione e ripetizione.</w:t>
      </w:r>
    </w:p>
    <w:p>
      <w:pPr>
        <w:spacing w:after="100"/>
        <w:ind w:left="255" w:hanging="57"/>
      </w:pPr>
      <w:r>
        <w:rPr>
          <w:rFonts w:ascii="Aptos" w:hAnsi="Aptos" w:eastAsia="Aptos"/>
          <w:lang w:val="it-IT" w:eastAsia="it-IT"/>
        </w:rPr>
        <w:t>☐  Canale di assistenza e verifica dell’identità.</w:t>
      </w:r>
    </w:p>
    <w:p>
      <w:pPr>
        <w:spacing w:after="100"/>
        <w:ind w:left="255" w:hanging="57"/>
      </w:pPr>
      <w:r>
        <w:rPr>
          <w:rFonts w:ascii="Aptos" w:hAnsi="Aptos" w:eastAsia="Aptos"/>
          <w:lang w:val="it-IT" w:eastAsia="it-IT"/>
        </w:rPr>
        <w:t>☐  Tempi di conservazione per dati, log, documenti e archivi Belenios.</w:t>
      </w:r>
    </w:p>
    <w:p>
      <w:pPr>
        <w:spacing w:after="100"/>
        <w:ind w:left="255" w:hanging="57"/>
      </w:pPr>
      <w:r>
        <w:rPr>
          <w:rFonts w:ascii="Aptos" w:hAnsi="Aptos" w:eastAsia="Aptos"/>
          <w:lang w:val="it-IT" w:eastAsia="it-IT"/>
        </w:rPr>
        <w:t>☐  Firma, protocollo, fascicolazione e conservazione dei documenti finali.</w:t>
      </w:r>
    </w:p>
    <w:p>
      <w:pPr>
        <w:spacing w:after="100"/>
        <w:ind w:left="255" w:hanging="57"/>
      </w:pPr>
      <w:r>
        <w:rPr>
          <w:rFonts w:ascii="Aptos" w:hAnsi="Aptos" w:eastAsia="Aptos"/>
          <w:lang w:val="it-IT" w:eastAsia="it-IT"/>
        </w:rPr>
        <w:t>☐  Frequenza dei collaudi e responsabile della loro verbalizzazione.</w:t>
      </w:r>
    </w:p>
    <w:p>
      <w:pPr>
        <w:pStyle w:val="Heading1"/>
      </w:pPr>
      <w:r>
        <w:t>Allegato B. Evidenze minime da conservare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Verbale di adozione della procedura.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Informativa privacy pubblicata e relative prese visione.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Registro dei trattamenti e decisione motivata sulla DPIA.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Atto di nomina del responsabile e lista dei sub-responsabili.</w:t>
      </w:r>
    </w:p>
    <w:p>
      <w:pPr>
        <w:widowControl/>
        <w:spacing w:after="80"/>
        <w:numPr>
          <w:ilvl w:val="0"/>
          <w:numId w:val="10"/>
        </w:numPr>
      </w:pPr>
      <w:r>
        <w:t>Esito della prova iniziale e delle eventuali verifiche successive.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Configurazione approvata di ruoli, quorum, GPS soft e sicurezza.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Fascicolo di ciascuna seduta e manifest delle impronte.</w:t>
      </w:r>
    </w:p>
    <w:p>
      <w:pPr>
        <w:widowControl/>
        <w:spacing w:after="80"/>
        <w:numPr>
          <w:ilvl w:val="0"/>
          <w:numId w:val="10"/>
        </w:numPr>
      </w:pPr>
      <w:r>
        <w:rPr>
          <w:rFonts w:ascii="Aptos" w:hAnsi="Aptos" w:eastAsia="Aptos"/>
          <w:lang w:val="it-IT" w:eastAsia="it-IT"/>
        </w:rPr>
        <w:t>Per Belenios: identificativo urna, URL pubblici, archivio nativo, risultato aggregato e pacchetto probatorio CollegioCloud.</w:t>
      </w:r>
    </w:p>
    <w:p>
      <w:pPr>
        <w:pStyle w:val="Heading1"/>
      </w:pPr>
      <w:r>
        <w:t>Riferimenti essenziali da verificare</w:t>
      </w:r>
    </w:p>
    <w:p>
      <w:pPr>
        <w:widowControl/>
        <w:spacing w:after="80"/>
        <w:numPr>
          <w:ilvl w:val="0"/>
          <w:numId w:val="10"/>
        </w:numPr>
      </w:pPr>
      <w:hyperlink r:id="rId11">
        <w:r>
          <w:rPr>
            <w:rFonts w:ascii="Aptos" w:hAnsi="Aptos" w:eastAsia="Aptos"/>
            <w:color w:val="176FBD"/>
            <w:u w:val="single"/>
            <w:lang w:val="it-IT" w:eastAsia="it-IT"/>
          </w:rPr>
          <w:t>Regolamento (UE) 2016/679</w:t>
        </w:r>
      </w:hyperlink>
      <w:r>
        <w:rPr>
          <w:rFonts w:ascii="Aptos" w:hAnsi="Aptos" w:eastAsia="Aptos"/>
          <w:lang w:val="it-IT" w:eastAsia="it-IT"/>
        </w:rPr>
        <w:t>, in particolare articoli 5, 6, 13, 14, 25, 28, 32, 35 e 36.</w:t>
      </w:r>
    </w:p>
    <w:p>
      <w:pPr>
        <w:widowControl/>
        <w:spacing w:after="80"/>
        <w:numPr>
          <w:ilvl w:val="0"/>
          <w:numId w:val="10"/>
        </w:numPr>
      </w:pPr>
      <w:hyperlink r:id="rId12">
        <w:r>
          <w:rPr>
            <w:rFonts w:ascii="Aptos" w:hAnsi="Aptos" w:eastAsia="Aptos"/>
            <w:color w:val="176FBD"/>
            <w:u w:val="single"/>
            <w:lang w:val="it-IT" w:eastAsia="it-IT"/>
          </w:rPr>
          <w:t>Garante per la protezione dei dati personali - valutazione d’impatto</w:t>
        </w:r>
      </w:hyperlink>
      <w:r>
        <w:rPr>
          <w:rFonts w:ascii="Aptos" w:hAnsi="Aptos" w:eastAsia="Aptos"/>
          <w:lang w:val="it-IT" w:eastAsia="it-IT"/>
        </w:rPr>
        <w:t>.</w:t>
      </w:r>
    </w:p>
    <w:p>
      <w:pPr>
        <w:widowControl/>
        <w:spacing w:after="80"/>
        <w:numPr>
          <w:ilvl w:val="0"/>
          <w:numId w:val="10"/>
        </w:numPr>
      </w:pPr>
      <w:hyperlink r:id="rId13">
        <w:r>
          <w:rPr>
            <w:rFonts w:ascii="Aptos" w:hAnsi="Aptos" w:eastAsia="Aptos"/>
            <w:color w:val="176FBD"/>
            <w:u w:val="single"/>
            <w:lang w:val="it-IT" w:eastAsia="it-IT"/>
          </w:rPr>
          <w:t>EDPB/WP29 - linee guida WP248 sulla DPIA</w:t>
        </w:r>
      </w:hyperlink>
      <w:r>
        <w:rPr>
          <w:rFonts w:ascii="Aptos" w:hAnsi="Aptos" w:eastAsia="Aptos"/>
          <w:lang w:val="it-IT" w:eastAsia="it-IT"/>
        </w:rPr>
        <w:t>.</w:t>
      </w:r>
    </w:p>
    <w:p>
      <w:pPr>
        <w:widowControl/>
        <w:spacing w:after="80"/>
        <w:numPr>
          <w:ilvl w:val="0"/>
          <w:numId w:val="10"/>
        </w:numPr>
      </w:pPr>
      <w:hyperlink r:id="rId14">
        <w:r>
          <w:rPr>
            <w:rFonts w:ascii="Aptos" w:hAnsi="Aptos" w:eastAsia="Aptos"/>
            <w:color w:val="176FBD"/>
            <w:u w:val="single"/>
            <w:lang w:val="it-IT" w:eastAsia="it-IT"/>
          </w:rPr>
          <w:t>Documentazione ufficiale Belenios</w:t>
        </w:r>
      </w:hyperlink>
      <w:r>
        <w:rPr>
          <w:rFonts w:ascii="Aptos" w:hAnsi="Aptos" w:eastAsia="Aptos"/>
          <w:lang w:val="it-IT" w:eastAsia="it-IT"/>
        </w:rPr>
        <w:t>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247" w:bottom="1134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 w:eastAsia="Aptos"/>
        <w:b w:val="0"/>
        <w:color w:val="667085"/>
        <w:sz w:val="17"/>
        <w:lang w:val="it-IT" w:eastAsia="it-IT"/>
      </w:rPr>
    </w:r>
    <w:r>
      <w:rPr>
        <w:rFonts w:ascii="Aptos" w:hAnsi="Aptos" w:eastAsia="Aptos"/>
        <w:b w:val="0"/>
        <w:color w:val="667085"/>
        <w:sz w:val="17"/>
        <w:lang w:val="it-IT" w:eastAsia="it-IT"/>
      </w:rPr>
      <w:t xml:space="preserve">Esempio da verificare e adattare  |  </w:t>
    </w:r>
    <w:r>
      <w:rPr>
        <w:rFonts w:ascii="Aptos" w:hAnsi="Aptos" w:eastAsia="Aptos"/>
        <w:b w:val="0"/>
        <w:color w:val="667085"/>
        <w:sz w:val="17"/>
        <w:lang w:val="it-IT" w:eastAsia="it-IT"/>
      </w:rPr>
      <w:t xml:space="preserve">Pagina </w:t>
    </w:r>
    <w:r>
      <w:rPr>
        <w:rFonts w:ascii="Aptos" w:hAnsi="Aptos" w:eastAsia="Aptos"/>
        <w:b w:val="0"/>
        <w:color w:val="667085"/>
        <w:sz w:val="17"/>
        <w:lang w:val="it-IT" w:eastAsia="it-IT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/>
    <w:r>
      <w:rPr>
        <w:rFonts w:ascii="Aptos" w:hAnsi="Aptos" w:eastAsia="Aptos"/>
        <w:b/>
        <w:color w:val="0F5496"/>
        <w:sz w:val="18"/>
        <w:lang w:val="it-IT" w:eastAsia="it-IT"/>
      </w:rPr>
      <w:t>CollegioCloud  |  Procedura interna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8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8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ptos" w:hAnsi="Aptos"/>
      <w:color w:val="24344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80" w:line="259" w:lineRule="auto"/>
      <w:outlineLvl w:val="0"/>
    </w:pPr>
    <w:rPr>
      <w:rFonts w:asciiTheme="majorHAnsi" w:eastAsiaTheme="majorEastAsia" w:hAnsiTheme="majorHAnsi" w:cstheme="majorBidi" w:ascii="Aptos" w:hAnsi="Aptos"/>
      <w:b/>
      <w:bCs/>
      <w:color w:val="0F549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59" w:lineRule="auto"/>
      <w:outlineLvl w:val="1"/>
    </w:pPr>
    <w:rPr>
      <w:rFonts w:asciiTheme="majorHAnsi" w:eastAsiaTheme="majorEastAsia" w:hAnsiTheme="majorHAnsi" w:cstheme="majorBidi" w:ascii="Aptos" w:hAnsi="Aptos"/>
      <w:b/>
      <w:bCs/>
      <w:color w:val="176F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59" w:lineRule="auto"/>
      <w:outlineLvl w:val="2"/>
    </w:pPr>
    <w:rPr>
      <w:rFonts w:asciiTheme="majorHAnsi" w:eastAsiaTheme="majorEastAsia" w:hAnsiTheme="majorHAnsi" w:cstheme="majorBidi" w:ascii="Aptos" w:hAnsi="Aptos"/>
      <w:b/>
      <w:bCs/>
      <w:color w:val="0F549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59" w:lineRule="auto" w:before="0"/>
      <w:contextualSpacing/>
    </w:pPr>
    <w:rPr>
      <w:rFonts w:asciiTheme="majorHAnsi" w:eastAsiaTheme="majorEastAsia" w:hAnsiTheme="majorHAnsi" w:cstheme="majorBidi" w:ascii="Aptos" w:hAnsi="Aptos"/>
      <w:b/>
      <w:color w:val="0F5496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 w:line="259" w:lineRule="auto"/>
    </w:pPr>
    <w:rPr>
      <w:rFonts w:asciiTheme="majorHAnsi" w:eastAsiaTheme="majorEastAsia" w:hAnsiTheme="majorHAnsi" w:cstheme="majorBidi" w:ascii="Aptos" w:hAnsi="Aptos"/>
      <w:b w:val="0"/>
      <w:i/>
      <w:iCs/>
      <w:color w:val="66708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eur-lex.europa.eu/eli/reg/2016/679/oj" TargetMode="External"/><Relationship Id="rId12" Type="http://schemas.openxmlformats.org/officeDocument/2006/relationships/hyperlink" Target="https://www.garanteprivacy.it/valutazione-d-impatto-della-protezione-dei-dati-dpia-" TargetMode="External"/><Relationship Id="rId13" Type="http://schemas.openxmlformats.org/officeDocument/2006/relationships/hyperlink" Target="https://www.edpb.europa.eu/our-work-tools/our-documents/guidelines/data-protection-impact-assessments-high-risk-processing_en" TargetMode="External"/><Relationship Id="rId14" Type="http://schemas.openxmlformats.org/officeDocument/2006/relationships/hyperlink" Target="https://www.belenio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Esempio di procedura interna per l’utilizzo di CollegioCloud</dc:title>
  <dc:subject>Procedura interna</dc:subject>
  <dc:creator>CollegioCloud - Adacom</dc:creator>
  <cp:keywords>CollegioCloud, Collegio dei docenti, Belenios, privacy, procedura</cp:keywords>
  <dc:description>Modello in lingua italiana da adattare e approvare a cura dell’Istituto.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